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0"/>
        <w:jc w:val="both"/>
        <w:spacing w:before="0" w:beforeAutospacing="0" w:after="0" w:afterAutospacing="0"/>
      </w:pPr>
      <w:r>
        <w:rPr>
          <w:b/>
          <w:bCs/>
          <w:color w:val="000000"/>
          <w:sz w:val="28"/>
          <w:szCs w:val="28"/>
        </w:rPr>
        <w:t xml:space="preserve">Тема 5. Управление оценкой результатов освоения основных общеобразовательных программ в соответствии с </w:t>
      </w:r>
      <w:r>
        <w:rPr>
          <w:b/>
          <w:bCs/>
          <w:color w:val="000000"/>
          <w:sz w:val="28"/>
          <w:szCs w:val="28"/>
        </w:rPr>
        <w:t xml:space="preserve">обновленными</w:t>
      </w:r>
      <w:r>
        <w:rPr>
          <w:b/>
          <w:bCs/>
          <w:color w:val="000000"/>
          <w:sz w:val="28"/>
          <w:szCs w:val="28"/>
        </w:rPr>
        <w:t xml:space="preserve"> ФГОС общего образования.</w:t>
      </w:r>
      <w:r/>
    </w:p>
    <w:p>
      <w:pPr>
        <w:pStyle w:val="832"/>
        <w:ind w:right="-22"/>
        <w:jc w:val="center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  <w:r/>
    </w:p>
    <w:p>
      <w:pPr>
        <w:pStyle w:val="832"/>
        <w:ind w:right="-22"/>
        <w:jc w:val="center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Сценарий проведения практического занятия</w:t>
      </w:r>
      <w:r/>
    </w:p>
    <w:p>
      <w:pPr>
        <w:pStyle w:val="832"/>
        <w:ind w:right="-22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  <w:r/>
    </w:p>
    <w:p>
      <w:pPr>
        <w:pStyle w:val="832"/>
        <w:ind w:right="-22" w:firstLine="708"/>
        <w:jc w:val="both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В системе подготовки</w:t>
      </w:r>
      <w:r>
        <w:rPr>
          <w:bCs/>
          <w:color w:val="000000"/>
          <w:sz w:val="28"/>
          <w:szCs w:val="28"/>
        </w:rPr>
        <w:t xml:space="preserve"> слушателей практические занятия являются частью учебного плана и направлены на формирование практических умений членов административной команды общеобразовательных организаций.</w:t>
      </w:r>
      <w:r/>
    </w:p>
    <w:p>
      <w:pPr>
        <w:pStyle w:val="832"/>
        <w:ind w:right="-22" w:firstLine="708"/>
        <w:jc w:val="both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Практическое занятие – занятие, проводимое под руководством преподавателя в учебной аудитории.</w:t>
      </w:r>
      <w:r/>
    </w:p>
    <w:p>
      <w:pPr>
        <w:pStyle w:val="832"/>
        <w:ind w:right="-22" w:firstLine="708"/>
        <w:jc w:val="both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</w:r>
      <w:r/>
    </w:p>
    <w:p>
      <w:pPr>
        <w:ind w:firstLine="708"/>
        <w:jc w:val="both"/>
        <w:spacing w:after="0" w:line="240" w:lineRule="auto"/>
        <w:rPr>
          <w:color w:val="000000"/>
          <w:szCs w:val="28"/>
        </w:rPr>
      </w:pPr>
      <w:r>
        <w:rPr>
          <w:rStyle w:val="831"/>
          <w:i/>
          <w:color w:val="000000"/>
          <w:szCs w:val="28"/>
        </w:rPr>
        <w:t xml:space="preserve">Практическое занятие – </w:t>
      </w:r>
      <w:r>
        <w:rPr>
          <w:rStyle w:val="831"/>
          <w:i/>
          <w:color w:val="000000"/>
          <w:szCs w:val="28"/>
        </w:rPr>
        <w:t xml:space="preserve">3</w:t>
      </w:r>
      <w:r>
        <w:rPr>
          <w:rStyle w:val="831"/>
          <w:i/>
          <w:color w:val="000000"/>
          <w:szCs w:val="28"/>
        </w:rPr>
        <w:t xml:space="preserve"> час</w:t>
      </w:r>
      <w:r>
        <w:rPr>
          <w:rStyle w:val="831"/>
          <w:i/>
          <w:color w:val="000000"/>
          <w:szCs w:val="28"/>
        </w:rPr>
        <w:t xml:space="preserve">: </w:t>
      </w:r>
      <w:r>
        <w:rPr>
          <w:rStyle w:val="831"/>
          <w:color w:val="000000"/>
          <w:szCs w:val="28"/>
        </w:rPr>
        <w:t xml:space="preserve">разработка и </w:t>
      </w:r>
      <w:r>
        <w:rPr>
          <w:rStyle w:val="831"/>
          <w:color w:val="000000"/>
          <w:szCs w:val="28"/>
        </w:rPr>
        <w:t xml:space="preserve">заполнение </w:t>
      </w:r>
      <w:r>
        <w:rPr>
          <w:rStyle w:val="831"/>
          <w:color w:val="000000"/>
          <w:szCs w:val="28"/>
        </w:rPr>
        <w:t xml:space="preserve">чек-листа</w:t>
      </w:r>
      <w:r>
        <w:rPr>
          <w:rStyle w:val="831"/>
          <w:color w:val="000000"/>
          <w:szCs w:val="28"/>
        </w:rPr>
        <w:t xml:space="preserve"> соответствия </w:t>
      </w:r>
      <w:r>
        <w:rPr>
          <w:rStyle w:val="831"/>
          <w:color w:val="000000"/>
          <w:szCs w:val="28"/>
        </w:rPr>
        <w:t xml:space="preserve">системы оценки достижения планируемых результатов освоения</w:t>
      </w:r>
      <w:r>
        <w:rPr>
          <w:rStyle w:val="831"/>
          <w:color w:val="000000"/>
          <w:szCs w:val="28"/>
        </w:rPr>
        <w:t xml:space="preserve"> ООП СОО требованиям ФГОС СОО и ФОП СОО.</w:t>
      </w:r>
      <w:r/>
    </w:p>
    <w:p>
      <w:pPr>
        <w:pStyle w:val="832"/>
        <w:ind w:right="-22" w:firstLine="708"/>
        <w:jc w:val="both"/>
        <w:spacing w:before="0" w:beforeAutospacing="0" w:after="0" w:afterAutospacing="0"/>
        <w:rPr>
          <w:color w:val="000000"/>
          <w:szCs w:val="28"/>
        </w:rPr>
      </w:pPr>
      <w:r>
        <w:rPr>
          <w:bCs/>
          <w:color w:val="000000"/>
          <w:sz w:val="28"/>
          <w:szCs w:val="28"/>
        </w:rPr>
        <w:t xml:space="preserve">На практическом</w:t>
      </w:r>
      <w:r>
        <w:rPr>
          <w:bCs/>
          <w:color w:val="000000"/>
          <w:sz w:val="28"/>
          <w:szCs w:val="28"/>
        </w:rPr>
        <w:t xml:space="preserve"> заняти</w:t>
      </w:r>
      <w:r>
        <w:rPr>
          <w:bCs/>
          <w:color w:val="000000"/>
          <w:sz w:val="28"/>
          <w:szCs w:val="28"/>
        </w:rPr>
        <w:t xml:space="preserve">и</w:t>
      </w:r>
      <w:r>
        <w:rPr>
          <w:bCs/>
          <w:color w:val="000000"/>
          <w:sz w:val="28"/>
          <w:szCs w:val="28"/>
        </w:rPr>
        <w:t xml:space="preserve"> слушатели</w:t>
      </w:r>
      <w:r>
        <w:rPr>
          <w:bCs/>
          <w:color w:val="000000"/>
          <w:sz w:val="28"/>
          <w:szCs w:val="28"/>
        </w:rPr>
        <w:t xml:space="preserve"> работают в малых группах по 3-4 человека (возможно управленческой командой одной образовательной организации). В ходе занятия слушатели </w:t>
      </w:r>
      <w:r>
        <w:rPr>
          <w:bCs/>
          <w:color w:val="000000"/>
          <w:sz w:val="28"/>
          <w:szCs w:val="28"/>
        </w:rPr>
        <w:t xml:space="preserve">разрабатываю</w:t>
      </w:r>
      <w:r>
        <w:rPr>
          <w:bCs/>
          <w:color w:val="000000"/>
          <w:sz w:val="28"/>
          <w:szCs w:val="28"/>
        </w:rPr>
        <w:t xml:space="preserve">т чек-лист, заполняют его и вырабатывают управленческие решения, позволяющие привести систему оценки достижения планируемых результатов освоения </w:t>
      </w:r>
      <w:r>
        <w:rPr>
          <w:bCs/>
          <w:color w:val="000000"/>
          <w:sz w:val="28"/>
          <w:szCs w:val="28"/>
        </w:rPr>
        <w:t xml:space="preserve">ООП СОО </w:t>
      </w:r>
      <w:r>
        <w:rPr>
          <w:bCs/>
          <w:color w:val="000000"/>
          <w:sz w:val="28"/>
          <w:szCs w:val="28"/>
        </w:rPr>
        <w:t xml:space="preserve">(далее – система оценки)</w:t>
      </w:r>
      <w:r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в соответствие с требованиями ФГОС СОО и ФОП СОО.</w:t>
      </w:r>
      <w:r>
        <w:rPr>
          <w:bCs/>
          <w:color w:val="000000"/>
          <w:sz w:val="28"/>
          <w:szCs w:val="28"/>
        </w:rPr>
        <w:t xml:space="preserve"> </w:t>
      </w:r>
      <w:r/>
    </w:p>
    <w:p>
      <w:pPr>
        <w:pStyle w:val="832"/>
        <w:ind w:right="-22" w:firstLine="708"/>
        <w:jc w:val="both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Результатом</w:t>
      </w:r>
      <w:r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работы слушател</w:t>
      </w:r>
      <w:r>
        <w:rPr>
          <w:bCs/>
          <w:color w:val="000000"/>
          <w:sz w:val="28"/>
          <w:szCs w:val="28"/>
        </w:rPr>
        <w:t xml:space="preserve">ей на практическом занятии является разработанный и заполненный чек-лист, а также не менее 3 управленческих решений, позволяющих привести систему оценки в соответствие с требованиями ФГОС СОО и ФОП СОО.</w:t>
      </w:r>
      <w:r>
        <w:rPr>
          <w:color w:val="000000"/>
          <w:szCs w:val="28"/>
        </w:rPr>
      </w:r>
      <w:r/>
    </w:p>
    <w:p>
      <w:pPr>
        <w:pStyle w:val="832"/>
        <w:ind w:right="-22" w:firstLine="708"/>
        <w:jc w:val="both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Перед практическим занятием целесообразно рекомендовать слушателям ознакомиться со следующими нормативными правовыми актами:</w:t>
      </w:r>
      <w:r>
        <w:rPr>
          <w:color w:val="000000"/>
        </w:rPr>
      </w:r>
      <w:r/>
    </w:p>
    <w:p>
      <w:pPr>
        <w:pStyle w:val="832"/>
        <w:numPr>
          <w:ilvl w:val="0"/>
          <w:numId w:val="5"/>
        </w:numPr>
        <w:ind w:left="425" w:right="-22" w:hanging="360"/>
        <w:jc w:val="both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Федеральный закон от 29.12.2012 № 273-ФЗ «Об образовании в Российской Федерации», ст. 13, 15, 16, 28, 30, 58, 59, 95, 95.1., 95.2.;</w:t>
      </w:r>
      <w:r>
        <w:rPr>
          <w:color w:val="000000"/>
        </w:rPr>
      </w:r>
      <w:r/>
    </w:p>
    <w:p>
      <w:pPr>
        <w:pStyle w:val="839"/>
        <w:numPr>
          <w:ilvl w:val="0"/>
          <w:numId w:val="6"/>
        </w:numPr>
        <w:ind w:left="425" w:right="-22" w:hanging="360"/>
        <w:jc w:val="both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</w:rPr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Приказ Минпросвещения России от 23.11.2022 № 1014 «Об утверждении федеральной образовательной программы среднего общего образования»</w:t>
      </w:r>
      <w:r>
        <w:t xml:space="preserve">;</w:t>
      </w:r>
      <w:r/>
    </w:p>
    <w:p>
      <w:pPr>
        <w:pStyle w:val="839"/>
        <w:numPr>
          <w:ilvl w:val="0"/>
          <w:numId w:val="6"/>
        </w:numPr>
        <w:ind w:left="425" w:right="-22" w:hanging="360"/>
        <w:jc w:val="both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Приказ Минпросвещения России от 12.08.2022 № 732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17.05.2012 № 413»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;</w:t>
      </w:r>
      <w:r>
        <w:rPr>
          <w:bCs/>
          <w:color w:val="000000"/>
          <w:sz w:val="28"/>
          <w:szCs w:val="28"/>
        </w:rPr>
      </w:r>
      <w:r/>
    </w:p>
    <w:p>
      <w:pPr>
        <w:pStyle w:val="839"/>
        <w:numPr>
          <w:ilvl w:val="0"/>
          <w:numId w:val="6"/>
        </w:numPr>
        <w:ind w:left="425" w:right="-22" w:hanging="360"/>
        <w:jc w:val="both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  <w:t xml:space="preserve">Письмо Министерства просвещения Российской Федерации </w:t>
      </w: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  <w:t xml:space="preserve">от 13.01.2023 № 03-49 «О направлении методических рекомендаций» (вместе с «Методическими рекомендациями по системе оценки достижения обучающимися планируемых результатов освоения программ начального общего, основного общего и среднего общего образования»);</w:t>
      </w: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/>
    </w:p>
    <w:p>
      <w:pPr>
        <w:pStyle w:val="839"/>
        <w:numPr>
          <w:ilvl w:val="0"/>
          <w:numId w:val="6"/>
        </w:numPr>
        <w:ind w:left="425" w:right="-22" w:hanging="360"/>
        <w:jc w:val="both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Письмо Минпросвещения России от 16.01.2023 № 03-68 «О направлении информации» (вместе с «Информацией о введении федеральных основных общеобразовательных программ»)</w:t>
      </w: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  <w:t xml:space="preserve">;</w:t>
      </w: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/>
    </w:p>
    <w:p>
      <w:pPr>
        <w:pStyle w:val="839"/>
        <w:numPr>
          <w:ilvl w:val="0"/>
          <w:numId w:val="6"/>
        </w:numPr>
        <w:ind w:left="425" w:right="-22" w:hanging="360"/>
        <w:jc w:val="both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Письмо Минпросвещения России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от 17.11.2022 № 03-1889 «О направлении информации» (вместе с «Информационно-разъяснительным письмом об основных изменениях, внесенных в федеральный государственный образовательный стандарт среднего общего образования, и организации работы по его введению»)</w:t>
      </w: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/>
    </w:p>
    <w:p>
      <w:pPr>
        <w:jc w:val="center"/>
        <w:rPr>
          <w:b/>
          <w:bCs/>
          <w:color w:val="000000"/>
          <w:highlight w:val="yellow"/>
        </w:rPr>
      </w:pPr>
      <w:r>
        <w:rPr>
          <w:b/>
          <w:color w:val="000000"/>
          <w:szCs w:val="28"/>
          <w:highlight w:val="none"/>
        </w:rPr>
      </w:r>
      <w:r>
        <w:rPr>
          <w:b/>
          <w:color w:val="000000"/>
          <w:szCs w:val="28"/>
          <w:highlight w:val="none"/>
        </w:rPr>
      </w:r>
      <w:r/>
    </w:p>
    <w:p>
      <w:pPr>
        <w:jc w:val="center"/>
        <w:rPr>
          <w:b/>
          <w:bCs/>
          <w:color w:val="000000"/>
          <w:highlight w:val="none"/>
        </w:rPr>
      </w:pPr>
      <w:r>
        <w:rPr>
          <w:b/>
          <w:color w:val="000000"/>
          <w:szCs w:val="28"/>
          <w:highlight w:val="none"/>
        </w:rPr>
        <w:t xml:space="preserve">Технологическая карта практического занятия</w:t>
      </w:r>
      <w:r>
        <w:rPr>
          <w:highlight w:val="none"/>
        </w:rPr>
      </w:r>
      <w:r/>
    </w:p>
    <w:tbl>
      <w:tblPr>
        <w:tblStyle w:val="833"/>
        <w:tblW w:w="5000" w:type="pct"/>
        <w:tblLayout w:type="fixed"/>
        <w:tblLook w:val="04A0" w:firstRow="1" w:lastRow="0" w:firstColumn="1" w:lastColumn="0" w:noHBand="0" w:noVBand="1"/>
      </w:tblPr>
      <w:tblGrid>
        <w:gridCol w:w="2331"/>
        <w:gridCol w:w="2879"/>
        <w:gridCol w:w="4361"/>
      </w:tblGrid>
      <w:tr>
        <w:trPr/>
        <w:tc>
          <w:tcPr>
            <w:tcW w:w="2331" w:type="dxa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Cs w:val="28"/>
                <w:highlight w:val="none"/>
              </w:rPr>
            </w:pPr>
            <w:r>
              <w:rPr>
                <w:b/>
                <w:color w:val="000000"/>
                <w:szCs w:val="28"/>
                <w:highlight w:val="none"/>
              </w:rPr>
              <w:t xml:space="preserve">Этап занятия</w:t>
            </w:r>
            <w:r>
              <w:rPr>
                <w:highlight w:val="none"/>
              </w:rPr>
            </w:r>
            <w:r/>
          </w:p>
        </w:tc>
        <w:tc>
          <w:tcPr>
            <w:tcW w:w="2879" w:type="dxa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Cs w:val="28"/>
                <w:highlight w:val="none"/>
              </w:rPr>
            </w:pPr>
            <w:r>
              <w:rPr>
                <w:b/>
                <w:color w:val="000000"/>
                <w:szCs w:val="28"/>
                <w:highlight w:val="none"/>
              </w:rPr>
              <w:t xml:space="preserve">Рекомендуемая продолжительность</w:t>
            </w:r>
            <w:r>
              <w:rPr>
                <w:highlight w:val="none"/>
              </w:rPr>
            </w:r>
            <w:r/>
          </w:p>
        </w:tc>
        <w:tc>
          <w:tcPr>
            <w:tcW w:w="4361" w:type="dxa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Cs w:val="28"/>
                <w:highlight w:val="none"/>
              </w:rPr>
            </w:pPr>
            <w:r>
              <w:rPr>
                <w:b/>
                <w:color w:val="000000"/>
                <w:szCs w:val="28"/>
                <w:highlight w:val="none"/>
              </w:rPr>
              <w:t xml:space="preserve">Краткое содержание</w:t>
            </w:r>
            <w:r>
              <w:rPr>
                <w:highlight w:val="none"/>
              </w:rPr>
            </w:r>
            <w:r/>
          </w:p>
        </w:tc>
      </w:tr>
      <w:tr>
        <w:trPr/>
        <w:tc>
          <w:tcPr>
            <w:tcW w:w="2331" w:type="dxa"/>
            <w:textDirection w:val="lrTb"/>
            <w:noWrap w:val="false"/>
          </w:tcPr>
          <w:p>
            <w:pPr>
              <w:jc w:val="center"/>
              <w:rPr>
                <w:color w:val="000000"/>
                <w:szCs w:val="28"/>
                <w:highlight w:val="none"/>
              </w:rPr>
            </w:pPr>
            <w:r>
              <w:rPr>
                <w:color w:val="000000"/>
                <w:szCs w:val="28"/>
                <w:highlight w:val="none"/>
              </w:rPr>
              <w:t xml:space="preserve">Актуализация информации, прослушанной на лекции</w:t>
            </w:r>
            <w:r>
              <w:rPr>
                <w:highlight w:val="none"/>
              </w:rPr>
            </w:r>
            <w:r/>
          </w:p>
        </w:tc>
        <w:tc>
          <w:tcPr>
            <w:tcW w:w="2879" w:type="dxa"/>
            <w:textDirection w:val="lrTb"/>
            <w:noWrap w:val="false"/>
          </w:tcPr>
          <w:p>
            <w:pPr>
              <w:jc w:val="center"/>
              <w:rPr>
                <w:color w:val="000000"/>
                <w:szCs w:val="28"/>
                <w:highlight w:val="none"/>
              </w:rPr>
            </w:pPr>
            <w:r>
              <w:rPr>
                <w:color w:val="000000"/>
                <w:szCs w:val="28"/>
                <w:highlight w:val="none"/>
              </w:rPr>
              <w:t xml:space="preserve">до 15</w:t>
            </w:r>
            <w:r>
              <w:rPr>
                <w:color w:val="000000"/>
                <w:szCs w:val="28"/>
                <w:highlight w:val="none"/>
              </w:rPr>
              <w:t xml:space="preserve"> минут</w:t>
            </w:r>
            <w:r>
              <w:rPr>
                <w:highlight w:val="none"/>
              </w:rPr>
            </w:r>
            <w:r/>
          </w:p>
        </w:tc>
        <w:tc>
          <w:tcPr>
            <w:tcW w:w="4361" w:type="dxa"/>
            <w:textDirection w:val="lrTb"/>
            <w:noWrap w:val="false"/>
          </w:tcPr>
          <w:p>
            <w:pPr>
              <w:spacing w:after="0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Организовать о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бсуждение по вопросам:</w:t>
            </w:r>
            <w:r>
              <w:rPr>
                <w:highlight w:val="none"/>
              </w:rPr>
            </w:r>
            <w:r/>
          </w:p>
          <w:p>
            <w:pPr>
              <w:spacing w:after="0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-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каковы функции системы оценки?</w:t>
            </w:r>
            <w:r>
              <w:rPr>
                <w:highlight w:val="none"/>
              </w:rPr>
            </w:r>
            <w:r/>
          </w:p>
          <w:p>
            <w:pPr>
              <w:spacing w:after="0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-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какие формы оценки должны быть включены в систему оценивания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?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/>
          </w:p>
          <w:p>
            <w:pPr>
              <w:pStyle w:val="839"/>
              <w:numPr>
                <w:ilvl w:val="0"/>
                <w:numId w:val="10"/>
              </w:numPr>
              <w:ind w:left="0" w:right="0" w:firstLine="0"/>
              <w:spacing w:after="0"/>
              <w:tabs>
                <w:tab w:val="left" w:pos="283" w:leader="none"/>
              </w:tabs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какой вид оценивания целесообразно применять при реализации форм внутреннего оценивания?</w:t>
            </w:r>
            <w:r>
              <w:rPr>
                <w:highlight w:val="none"/>
              </w:rPr>
            </w:r>
            <w:r/>
          </w:p>
          <w:p>
            <w:pPr>
              <w:pStyle w:val="839"/>
              <w:numPr>
                <w:ilvl w:val="0"/>
                <w:numId w:val="10"/>
              </w:numPr>
              <w:ind w:left="0" w:right="0" w:firstLine="0"/>
              <w:spacing w:after="0"/>
              <w:tabs>
                <w:tab w:val="left" w:pos="142" w:leader="none"/>
              </w:tabs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 какие параметры, на Ваш взгляд, должны быть включены в чек-лист?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/>
          </w:p>
        </w:tc>
      </w:tr>
      <w:tr>
        <w:trPr/>
        <w:tc>
          <w:tcPr>
            <w:tcW w:w="2331" w:type="dxa"/>
            <w:textDirection w:val="lrTb"/>
            <w:noWrap w:val="false"/>
          </w:tcPr>
          <w:p>
            <w:pPr>
              <w:jc w:val="center"/>
              <w:rPr>
                <w:color w:val="000000"/>
                <w:szCs w:val="28"/>
                <w:highlight w:val="none"/>
              </w:rPr>
            </w:pPr>
            <w:r>
              <w:rPr>
                <w:color w:val="000000"/>
                <w:szCs w:val="28"/>
                <w:highlight w:val="none"/>
              </w:rPr>
              <w:t xml:space="preserve">Самостоятельная работа слушателей</w:t>
            </w:r>
            <w:r>
              <w:rPr>
                <w:highlight w:val="none"/>
              </w:rPr>
            </w:r>
            <w:r/>
          </w:p>
        </w:tc>
        <w:tc>
          <w:tcPr>
            <w:tcW w:w="2879" w:type="dxa"/>
            <w:textDirection w:val="lrTb"/>
            <w:noWrap w:val="false"/>
          </w:tcPr>
          <w:p>
            <w:pPr>
              <w:jc w:val="center"/>
              <w:rPr>
                <w:color w:val="000000"/>
                <w:szCs w:val="28"/>
                <w:highlight w:val="none"/>
              </w:rPr>
            </w:pPr>
            <w:r>
              <w:rPr>
                <w:color w:val="000000"/>
                <w:szCs w:val="28"/>
                <w:highlight w:val="none"/>
              </w:rPr>
              <w:t xml:space="preserve">до </w:t>
            </w:r>
            <w:r>
              <w:rPr>
                <w:color w:val="000000"/>
                <w:szCs w:val="28"/>
                <w:highlight w:val="none"/>
              </w:rPr>
              <w:t xml:space="preserve">75</w:t>
            </w:r>
            <w:r>
              <w:rPr>
                <w:color w:val="000000"/>
                <w:szCs w:val="28"/>
                <w:highlight w:val="none"/>
              </w:rPr>
              <w:t xml:space="preserve"> минут</w:t>
            </w:r>
            <w:r>
              <w:rPr>
                <w:highlight w:val="none"/>
              </w:rPr>
            </w:r>
            <w:r/>
          </w:p>
        </w:tc>
        <w:tc>
          <w:tcPr>
            <w:tcW w:w="4361" w:type="dxa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Слушатели объединяются в группы для разработки чек-листа</w:t>
            </w:r>
            <w:r>
              <w:rPr>
                <w:rStyle w:val="831"/>
                <w:color w:val="000000"/>
                <w:sz w:val="24"/>
                <w:szCs w:val="24"/>
                <w:highlight w:val="none"/>
              </w:rPr>
              <w:t xml:space="preserve">. Цель – разработать чек-лист и сформулировать управленческие решения, позволяющие привести систему оценки ОО в соответствие требованиям ФГОС, определить риски </w:t>
            </w:r>
            <w:r>
              <w:rPr>
                <w:highlight w:val="none"/>
              </w:rPr>
            </w:r>
            <w:r/>
          </w:p>
        </w:tc>
      </w:tr>
      <w:tr>
        <w:trPr/>
        <w:tc>
          <w:tcPr>
            <w:tcW w:w="2331" w:type="dxa"/>
            <w:textDirection w:val="lrTb"/>
            <w:noWrap w:val="false"/>
          </w:tcPr>
          <w:p>
            <w:pPr>
              <w:jc w:val="center"/>
              <w:rPr>
                <w:color w:val="000000"/>
                <w:szCs w:val="28"/>
                <w:highlight w:val="none"/>
              </w:rPr>
            </w:pPr>
            <w:r>
              <w:rPr>
                <w:color w:val="000000"/>
                <w:szCs w:val="28"/>
                <w:highlight w:val="none"/>
              </w:rPr>
              <w:t xml:space="preserve">Подведение итогов</w:t>
            </w:r>
            <w:r>
              <w:rPr>
                <w:highlight w:val="none"/>
              </w:rPr>
            </w:r>
            <w:r/>
          </w:p>
        </w:tc>
        <w:tc>
          <w:tcPr>
            <w:tcW w:w="2879" w:type="dxa"/>
            <w:textDirection w:val="lrTb"/>
            <w:noWrap w:val="false"/>
          </w:tcPr>
          <w:p>
            <w:pPr>
              <w:jc w:val="center"/>
              <w:rPr>
                <w:color w:val="000000"/>
                <w:szCs w:val="28"/>
                <w:highlight w:val="none"/>
              </w:rPr>
            </w:pPr>
            <w:r>
              <w:rPr>
                <w:color w:val="000000"/>
                <w:szCs w:val="28"/>
                <w:highlight w:val="none"/>
              </w:rPr>
              <w:t xml:space="preserve">до</w:t>
            </w:r>
            <w:r>
              <w:rPr>
                <w:color w:val="000000"/>
                <w:szCs w:val="28"/>
                <w:highlight w:val="none"/>
              </w:rPr>
              <w:t xml:space="preserve"> 45</w:t>
            </w:r>
            <w:r>
              <w:rPr>
                <w:color w:val="000000"/>
                <w:szCs w:val="28"/>
                <w:highlight w:val="none"/>
              </w:rPr>
              <w:t xml:space="preserve"> минут</w:t>
            </w:r>
            <w:r>
              <w:rPr>
                <w:highlight w:val="none"/>
              </w:rPr>
            </w:r>
            <w:r/>
          </w:p>
        </w:tc>
        <w:tc>
          <w:tcPr>
            <w:tcW w:w="4361" w:type="dxa"/>
            <w:textDirection w:val="lrTb"/>
            <w:noWrap w:val="false"/>
          </w:tcPr>
          <w:p>
            <w:pPr>
              <w:rPr>
                <w:color w:val="000000"/>
                <w:szCs w:val="28"/>
                <w:highlight w:val="none"/>
              </w:rPr>
            </w:pPr>
            <w:r>
              <w:rPr>
                <w:color w:val="000000"/>
                <w:szCs w:val="28"/>
                <w:highlight w:val="none"/>
              </w:rPr>
              <w:t xml:space="preserve">Обсуждение проектов </w:t>
            </w:r>
            <w:r>
              <w:rPr>
                <w:color w:val="000000"/>
                <w:szCs w:val="28"/>
                <w:highlight w:val="none"/>
              </w:rPr>
              <w:t xml:space="preserve">чек-листов и управленческих решений. Корректировка/дополнение по необходимости.</w:t>
            </w:r>
            <w:r>
              <w:rPr>
                <w:color w:val="000000"/>
                <w:szCs w:val="28"/>
                <w:highlight w:val="none"/>
              </w:rPr>
              <w:t xml:space="preserve"> </w:t>
            </w:r>
            <w:r>
              <w:rPr>
                <w:highlight w:val="none"/>
              </w:rPr>
            </w:r>
            <w:r/>
          </w:p>
        </w:tc>
      </w:tr>
    </w:tbl>
    <w:p>
      <w:pPr>
        <w:jc w:val="center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</w:r>
      <w:r>
        <w:rPr>
          <w:rFonts w:eastAsia="Times New Roman" w:cs="Times New Roman"/>
          <w:lang w:eastAsia="ru-RU"/>
        </w:rPr>
      </w:r>
      <w:r/>
    </w:p>
    <w:p>
      <w:pPr>
        <w:jc w:val="right"/>
        <w:rPr>
          <w:bCs/>
          <w:i/>
          <w:highlight w:val="none"/>
        </w:rPr>
      </w:pPr>
      <w:r>
        <w:rPr>
          <w:i/>
          <w:iCs/>
          <w:highlight w:val="none"/>
        </w:rPr>
      </w:r>
      <w:r>
        <w:rPr>
          <w:i/>
          <w:iCs/>
          <w:highlight w:val="none"/>
        </w:rPr>
      </w:r>
      <w:r/>
    </w:p>
    <w:p>
      <w:pPr>
        <w:jc w:val="right"/>
        <w:rPr>
          <w:bCs/>
          <w:i/>
          <w:highlight w:val="none"/>
        </w:rPr>
      </w:pPr>
      <w:r>
        <w:rPr>
          <w:i/>
          <w:iCs/>
          <w:highlight w:val="none"/>
        </w:rPr>
      </w:r>
      <w:r>
        <w:rPr>
          <w:i/>
          <w:iCs/>
          <w:highlight w:val="none"/>
        </w:rPr>
      </w:r>
      <w:r/>
    </w:p>
    <w:p>
      <w:pPr>
        <w:jc w:val="right"/>
        <w:rPr>
          <w:bCs/>
          <w:i/>
          <w:highlight w:val="none"/>
        </w:rPr>
      </w:pPr>
      <w:r>
        <w:rPr>
          <w:i/>
          <w:iCs/>
          <w:highlight w:val="none"/>
        </w:rPr>
      </w:r>
      <w:r>
        <w:rPr>
          <w:i/>
          <w:iCs/>
          <w:highlight w:val="none"/>
        </w:rPr>
      </w:r>
      <w:r/>
    </w:p>
    <w:p>
      <w:pPr>
        <w:jc w:val="right"/>
        <w:rPr>
          <w:bCs/>
          <w:i/>
          <w:highlight w:val="none"/>
        </w:rPr>
      </w:pPr>
      <w:r>
        <w:rPr>
          <w:i/>
          <w:iCs/>
          <w:highlight w:val="none"/>
        </w:rPr>
      </w:r>
      <w:r>
        <w:rPr>
          <w:i/>
          <w:iCs/>
          <w:highlight w:val="none"/>
        </w:rPr>
      </w:r>
      <w:r/>
    </w:p>
    <w:p>
      <w:pPr>
        <w:jc w:val="right"/>
        <w:rPr>
          <w:bCs/>
          <w:i/>
          <w:highlight w:val="none"/>
        </w:rPr>
      </w:pPr>
      <w:r>
        <w:rPr>
          <w:i/>
          <w:iCs/>
          <w:highlight w:val="none"/>
        </w:rPr>
      </w:r>
      <w:r>
        <w:rPr>
          <w:i/>
          <w:iCs/>
          <w:highlight w:val="none"/>
        </w:rPr>
      </w:r>
      <w:r/>
    </w:p>
    <w:p>
      <w:pPr>
        <w:jc w:val="right"/>
        <w:rPr>
          <w:bCs/>
          <w:i/>
          <w:highlight w:val="none"/>
        </w:rPr>
      </w:pPr>
      <w:r>
        <w:rPr>
          <w:i/>
          <w:iCs/>
          <w:highlight w:val="none"/>
        </w:rPr>
      </w:r>
      <w:r>
        <w:rPr>
          <w:i/>
          <w:iCs/>
          <w:highlight w:val="none"/>
        </w:rPr>
      </w:r>
      <w:r/>
    </w:p>
    <w:p>
      <w:pPr>
        <w:jc w:val="right"/>
        <w:rPr>
          <w:bCs/>
          <w:i/>
          <w:highlight w:val="none"/>
        </w:rPr>
      </w:pPr>
      <w:r>
        <w:rPr>
          <w:i/>
          <w:iCs/>
          <w:highlight w:val="none"/>
        </w:rPr>
      </w:r>
      <w:r>
        <w:rPr>
          <w:i/>
          <w:iCs/>
          <w:highlight w:val="none"/>
        </w:rPr>
      </w:r>
      <w:r/>
    </w:p>
    <w:p>
      <w:pPr>
        <w:jc w:val="right"/>
        <w:rPr>
          <w:bCs/>
          <w:i/>
          <w:highlight w:val="none"/>
        </w:rPr>
      </w:pPr>
      <w:r>
        <w:rPr>
          <w:i/>
          <w:iCs/>
          <w:highlight w:val="none"/>
        </w:rPr>
      </w:r>
      <w:r>
        <w:rPr>
          <w:i/>
          <w:iCs/>
          <w:highlight w:val="none"/>
        </w:rPr>
      </w:r>
      <w:r/>
    </w:p>
    <w:p>
      <w:pPr>
        <w:jc w:val="right"/>
        <w:rPr>
          <w:bCs/>
          <w:i/>
          <w:highlight w:val="none"/>
        </w:rPr>
      </w:pPr>
      <w:r>
        <w:rPr>
          <w:i/>
          <w:iCs/>
          <w:highlight w:val="none"/>
        </w:rPr>
      </w:r>
      <w:r>
        <w:rPr>
          <w:i/>
          <w:iCs/>
          <w:highlight w:val="none"/>
        </w:rPr>
      </w:r>
      <w:r/>
    </w:p>
    <w:p>
      <w:pPr>
        <w:jc w:val="right"/>
        <w:rPr>
          <w:bCs/>
          <w:i/>
          <w:highlight w:val="none"/>
        </w:rPr>
      </w:pPr>
      <w:r>
        <w:rPr>
          <w:i/>
          <w:iCs/>
          <w:highlight w:val="none"/>
        </w:rPr>
      </w:r>
      <w:r>
        <w:rPr>
          <w:i/>
          <w:iCs/>
          <w:highlight w:val="none"/>
        </w:rPr>
      </w:r>
      <w:r/>
    </w:p>
    <w:p>
      <w:pPr>
        <w:jc w:val="right"/>
        <w:rPr>
          <w:bCs/>
          <w:i/>
          <w:highlight w:val="none"/>
        </w:rPr>
      </w:pPr>
      <w:r>
        <w:rPr>
          <w:i/>
          <w:iCs/>
          <w:highlight w:val="none"/>
        </w:rPr>
      </w:r>
      <w:r>
        <w:rPr>
          <w:i/>
          <w:iCs/>
          <w:highlight w:val="none"/>
        </w:rPr>
      </w:r>
      <w:r/>
    </w:p>
    <w:p>
      <w:pPr>
        <w:jc w:val="right"/>
        <w:rPr>
          <w:bCs/>
          <w:i/>
          <w:highlight w:val="none"/>
        </w:rPr>
      </w:pPr>
      <w:r>
        <w:rPr>
          <w:i/>
          <w:iCs/>
          <w:highlight w:val="none"/>
        </w:rPr>
      </w:r>
      <w:r>
        <w:rPr>
          <w:i/>
          <w:iCs/>
          <w:highlight w:val="none"/>
        </w:rPr>
      </w:r>
      <w:r/>
    </w:p>
    <w:p>
      <w:pPr>
        <w:jc w:val="right"/>
        <w:rPr>
          <w:bCs/>
          <w:i/>
          <w:highlight w:val="none"/>
        </w:rPr>
      </w:pPr>
      <w:r>
        <w:rPr>
          <w:i/>
          <w:iCs/>
          <w:highlight w:val="none"/>
        </w:rPr>
      </w:r>
      <w:r>
        <w:rPr>
          <w:i/>
          <w:iCs/>
          <w:highlight w:val="none"/>
        </w:rPr>
      </w:r>
      <w:r/>
    </w:p>
    <w:p>
      <w:pPr>
        <w:jc w:val="right"/>
        <w:rPr>
          <w:bCs/>
          <w:i/>
          <w:highlight w:val="none"/>
        </w:rPr>
      </w:pPr>
      <w:r>
        <w:rPr>
          <w:i/>
          <w:iCs/>
        </w:rPr>
        <w:t xml:space="preserve">Приложение.</w:t>
      </w:r>
      <w:bookmarkStart w:id="0" w:name="_GoBack"/>
      <w:r>
        <w:rPr>
          <w:i/>
          <w:iCs/>
        </w:rPr>
      </w:r>
      <w:bookmarkEnd w:id="0"/>
      <w:r>
        <w:rPr>
          <w:i/>
          <w:iCs/>
        </w:rPr>
      </w:r>
      <w:r/>
    </w:p>
    <w:p>
      <w:pPr>
        <w:jc w:val="right"/>
        <w:rPr>
          <w:bCs/>
          <w:i/>
          <w:highlight w:val="none"/>
        </w:rPr>
      </w:pPr>
      <w:r>
        <w:rPr>
          <w:i/>
          <w:iCs/>
          <w:highlight w:val="none"/>
        </w:rPr>
        <w:t xml:space="preserve">Примерное содержание чек-листа.</w:t>
      </w:r>
      <w:r>
        <w:rPr>
          <w:i/>
          <w:iCs/>
          <w:highlight w:val="none"/>
        </w:rPr>
      </w:r>
      <w:r/>
    </w:p>
    <w:p>
      <w:pPr>
        <w:ind w:left="0" w:right="0" w:firstLine="0"/>
        <w:jc w:val="center"/>
        <w:spacing w:before="0" w:after="40" w:line="299" w:lineRule="atLeast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</w:rPr>
        <w:t xml:space="preserve">Чек-лист «Оценка </w:t>
      </w:r>
      <w:r>
        <w:rPr>
          <w:rStyle w:val="831"/>
          <w:b/>
          <w:bCs/>
          <w:color w:val="000000"/>
          <w:szCs w:val="28"/>
        </w:rPr>
        <w:t xml:space="preserve">соответствия </w:t>
      </w:r>
      <w:r>
        <w:rPr>
          <w:rStyle w:val="831"/>
          <w:b/>
          <w:bCs/>
          <w:color w:val="000000"/>
          <w:szCs w:val="28"/>
        </w:rPr>
        <w:t xml:space="preserve">системы оценки достижения планируемых результатов освоения</w:t>
      </w:r>
      <w:r>
        <w:rPr>
          <w:rStyle w:val="831"/>
          <w:b/>
          <w:bCs/>
          <w:color w:val="000000"/>
          <w:szCs w:val="28"/>
        </w:rPr>
        <w:t xml:space="preserve"> ООП СОО требованиям ФГОС СОО и ФОП СОО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</w:rPr>
        <w:t xml:space="preserve">»</w:t>
      </w:r>
      <w:r/>
    </w:p>
    <w:p>
      <w:pPr>
        <w:ind w:left="0" w:right="0" w:firstLine="0"/>
        <w:jc w:val="center"/>
        <w:spacing w:before="0" w:after="40" w:line="299" w:lineRule="atLeast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</w:rPr>
      </w:r>
      <w:r/>
    </w:p>
    <w:tbl>
      <w:tblPr>
        <w:tblStyle w:val="833"/>
        <w:tblW w:w="0" w:type="auto"/>
        <w:tblInd w:w="-34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3402"/>
        <w:gridCol w:w="1701"/>
        <w:gridCol w:w="425"/>
        <w:gridCol w:w="1451"/>
      </w:tblGrid>
      <w:tr>
        <w:trPr>
          <w:trHeight w:val="880"/>
        </w:trPr>
        <w:tc>
          <w:tcPr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9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b/>
                <w:bCs/>
                <w:sz w:val="24"/>
                <w:szCs w:val="20"/>
              </w:rPr>
              <w:t xml:space="preserve">№ п/п</w:t>
            </w:r>
            <w:r/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1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9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Параметры оценки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99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Соответствие</w:t>
            </w:r>
            <w:r/>
          </w:p>
          <w:p>
            <w:pPr>
              <w:ind w:left="0" w:right="0" w:firstLine="0"/>
              <w:jc w:val="center"/>
              <w:spacing w:before="0" w:after="0" w:line="299" w:lineRule="atLeast"/>
              <w:rPr>
                <w:rFonts w:ascii="Times New Roman" w:hAnsi="Times New Roman" w:eastAsia="Times New Roman" w:cs="Times New Roman"/>
                <w:sz w:val="28"/>
                <w:szCs w:val="28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highlight w:val="none"/>
              </w:rPr>
              <w:t xml:space="preserve">+ / -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highlight w:val="none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7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Ответственное лицо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</w:r>
            <w:r/>
          </w:p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highlight w:val="none"/>
              </w:rPr>
              <w:t xml:space="preserve">(должность)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highlight w:val="none"/>
              </w:rPr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99" w:lineRule="atLeast"/>
              <w:rPr>
                <w:rFonts w:ascii="Times New Roman" w:hAnsi="Times New Roman" w:eastAsia="Times New Roman" w:cs="Times New Roman"/>
                <w:color w:val="000000"/>
                <w:sz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</w:t>
            </w:r>
            <w:r/>
          </w:p>
          <w:p>
            <w:pPr>
              <w:ind w:left="0" w:right="0" w:firstLine="0"/>
              <w:jc w:val="left"/>
              <w:spacing w:before="0" w:after="0" w:line="299" w:lineRule="atLeast"/>
              <w:rPr>
                <w:rFonts w:ascii="Times New Roman" w:hAnsi="Times New Roman" w:eastAsia="Times New Roman" w:cs="Times New Roman"/>
                <w:color w:val="000000"/>
                <w:sz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/>
          </w:p>
          <w:p>
            <w:pPr>
              <w:ind w:left="0" w:right="0" w:firstLine="0"/>
              <w:jc w:val="center"/>
              <w:spacing w:before="0" w:after="0" w:line="299" w:lineRule="atLeast"/>
              <w:rPr>
                <w:rFonts w:ascii="Times New Roman" w:hAnsi="Times New Roman" w:eastAsia="Times New Roman" w:cs="Times New Roman"/>
                <w:color w:val="000000"/>
                <w:sz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left"/>
              <w:spacing w:before="0" w:after="0" w:line="299" w:lineRule="atLeast"/>
              <w:rPr>
                <w:rFonts w:ascii="Times New Roman" w:hAnsi="Times New Roman" w:eastAsia="Times New Roman" w:cs="Times New Roman"/>
                <w:color w:val="000000"/>
                <w:sz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Система оценки описана в целевом разделе ООП СОО</w:t>
            </w:r>
            <w:r/>
          </w:p>
          <w:p>
            <w:pPr>
              <w:contextualSpacing w:val="0"/>
              <w:ind w:left="0" w:right="0" w:firstLine="0"/>
              <w:jc w:val="left"/>
              <w:spacing w:before="0" w:after="0" w:line="283" w:lineRule="atLeast"/>
              <w:rPr>
                <w:rFonts w:ascii="Times New Roman" w:hAnsi="Times New Roman" w:eastAsia="Times New Roman" w:cs="Times New Roman"/>
                <w:color w:val="000000"/>
                <w:sz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/>
          </w:p>
          <w:p>
            <w:pPr>
              <w:contextualSpacing w:val="0"/>
              <w:ind w:left="0" w:right="0" w:firstLine="0"/>
              <w:jc w:val="left"/>
              <w:spacing w:before="0" w:after="0" w:line="283" w:lineRule="atLeast"/>
              <w:rPr>
                <w:rFonts w:ascii="Times New Roman" w:hAnsi="Times New Roman" w:eastAsia="Times New Roman" w:cs="Times New Roman"/>
                <w:color w:val="000000"/>
                <w:sz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0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left"/>
              <w:spacing w:before="0" w:after="0" w:line="299" w:lineRule="atLeast"/>
              <w:rPr>
                <w:rFonts w:ascii="Times New Roman" w:hAnsi="Times New Roman" w:eastAsia="Times New Roman" w:cs="Times New Roman"/>
                <w:color w:val="000000"/>
                <w:sz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Организация и формы представления и учета результатов промежуточной аттестации обучающихся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99" w:lineRule="atLeast"/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76" w:type="dxa"/>
            <w:vAlign w:val="top"/>
            <w:vMerge w:val="restart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02" w:type="dxa"/>
            <w:vAlign w:val="top"/>
            <w:vMerge w:val="restart"/>
            <w:textDirection w:val="lrTb"/>
            <w:noWrap w:val="false"/>
          </w:tcPr>
          <w:p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</w:r>
            <w:r>
              <w:rPr>
                <w:sz w:val="24"/>
                <w:szCs w:val="20"/>
              </w:rPr>
              <w:t xml:space="preserve">Организация, содержание и критерии оценки результатов по учебным предметам, выносимым на государственную итоговую аттестацию</w:t>
            </w:r>
            <w:r>
              <w:rPr>
                <w:sz w:val="24"/>
                <w:szCs w:val="20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99" w:lineRule="atLeast"/>
              <w:rPr>
                <w:rFonts w:ascii="Times New Roman" w:hAnsi="Times New Roman" w:eastAsia="Times New Roman" w:cs="Times New Roman"/>
                <w:color w:val="000000"/>
                <w:sz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76" w:type="dxa"/>
            <w:vAlign w:val="top"/>
            <w:vMerge w:val="restart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02" w:type="dxa"/>
            <w:vAlign w:val="top"/>
            <w:vMerge w:val="restart"/>
            <w:textDirection w:val="lrTb"/>
            <w:noWrap w:val="false"/>
          </w:tcPr>
          <w:p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</w:r>
            <w:r>
              <w:rPr>
                <w:sz w:val="24"/>
                <w:szCs w:val="20"/>
              </w:rPr>
              <w:t xml:space="preserve">Организация, критерии оценки и формы представления и учета результатов оценки учебно-исследовательской и проектной деятельности обучающихся</w:t>
            </w:r>
            <w:r>
              <w:rPr>
                <w:sz w:val="24"/>
                <w:szCs w:val="20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99" w:lineRule="atLeast"/>
              <w:rPr>
                <w:rFonts w:ascii="Times New Roman" w:hAnsi="Times New Roman" w:eastAsia="Times New Roman" w:cs="Times New Roman"/>
                <w:color w:val="000000"/>
                <w:sz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76" w:type="dxa"/>
            <w:vAlign w:val="top"/>
            <w:vMerge w:val="restart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99" w:lineRule="atLeast"/>
              <w:rPr>
                <w:rFonts w:ascii="Times New Roman" w:hAnsi="Times New Roman" w:eastAsia="Times New Roman" w:cs="Times New Roman"/>
                <w:color w:val="000000"/>
                <w:sz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top"/>
            <w:vMerge w:val="restart"/>
            <w:textDirection w:val="lrTb"/>
            <w:noWrap w:val="false"/>
          </w:tcPr>
          <w:p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 xml:space="preserve">Внутренняя оценка</w:t>
            </w:r>
            <w:r>
              <w:rPr>
                <w:sz w:val="24"/>
                <w:szCs w:val="20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02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83" w:lineRule="atLeast"/>
              <w:rPr>
                <w:rFonts w:ascii="Times New Roman" w:hAnsi="Times New Roman" w:eastAsia="Times New Roman" w:cs="Times New Roman"/>
                <w:color w:val="000000"/>
                <w:sz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Описаны процедуры стартовой диагностики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99" w:lineRule="atLeast"/>
              <w:rPr>
                <w:rFonts w:ascii="Times New Roman" w:hAnsi="Times New Roman" w:eastAsia="Times New Roman" w:cs="Times New Roman"/>
                <w:color w:val="000000"/>
                <w:sz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76" w:type="dxa"/>
            <w:vAlign w:val="top"/>
            <w:vMerge w:val="restart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02" w:type="dxa"/>
            <w:vAlign w:val="top"/>
            <w:vMerge w:val="restart"/>
            <w:textDirection w:val="lrTb"/>
            <w:noWrap w:val="false"/>
          </w:tcPr>
          <w:p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 xml:space="preserve">Описаны процедуры текущей оценки</w:t>
            </w:r>
            <w:r>
              <w:rPr>
                <w:sz w:val="24"/>
                <w:szCs w:val="20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99" w:lineRule="atLeast"/>
              <w:rPr>
                <w:rFonts w:ascii="Times New Roman" w:hAnsi="Times New Roman" w:eastAsia="Times New Roman" w:cs="Times New Roman"/>
                <w:color w:val="000000"/>
                <w:sz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76" w:type="dxa"/>
            <w:vAlign w:val="top"/>
            <w:vMerge w:val="restart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02" w:type="dxa"/>
            <w:vAlign w:val="top"/>
            <w:vMerge w:val="restart"/>
            <w:textDirection w:val="lrTb"/>
            <w:noWrap w:val="false"/>
          </w:tcPr>
          <w:p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 xml:space="preserve">Описаны процедуры тематической оценки</w:t>
            </w:r>
            <w:r>
              <w:rPr>
                <w:sz w:val="24"/>
                <w:szCs w:val="20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99" w:lineRule="atLeast"/>
              <w:rPr>
                <w:rFonts w:ascii="Times New Roman" w:hAnsi="Times New Roman" w:eastAsia="Times New Roman" w:cs="Times New Roman"/>
                <w:color w:val="000000"/>
                <w:sz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76" w:type="dxa"/>
            <w:vAlign w:val="top"/>
            <w:vMerge w:val="restart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02" w:type="dxa"/>
            <w:vAlign w:val="top"/>
            <w:vMerge w:val="restart"/>
            <w:textDirection w:val="lrTb"/>
            <w:noWrap w:val="false"/>
          </w:tcPr>
          <w:p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 xml:space="preserve">Описаны процедуры психолого-педагогического наблюдения</w:t>
            </w:r>
            <w:r>
              <w:rPr>
                <w:sz w:val="24"/>
                <w:szCs w:val="20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99" w:lineRule="atLeast"/>
              <w:rPr>
                <w:rFonts w:ascii="Times New Roman" w:hAnsi="Times New Roman" w:eastAsia="Times New Roman" w:cs="Times New Roman"/>
                <w:color w:val="000000"/>
                <w:sz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76" w:type="dxa"/>
            <w:vAlign w:val="top"/>
            <w:vMerge w:val="restart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02" w:type="dxa"/>
            <w:vAlign w:val="top"/>
            <w:vMerge w:val="restart"/>
            <w:textDirection w:val="lrTb"/>
            <w:noWrap w:val="false"/>
          </w:tcPr>
          <w:p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 xml:space="preserve">Описаны процедуры внутреннего мониторинга образовательных достижений обучающихся</w:t>
            </w:r>
            <w:r>
              <w:rPr>
                <w:sz w:val="24"/>
                <w:szCs w:val="20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99" w:lineRule="atLeast"/>
              <w:rPr>
                <w:rFonts w:ascii="Times New Roman" w:hAnsi="Times New Roman" w:eastAsia="Times New Roman" w:cs="Times New Roman"/>
                <w:color w:val="000000"/>
                <w:sz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76" w:type="dxa"/>
            <w:vAlign w:val="top"/>
            <w:vMerge w:val="restart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99" w:lineRule="atLeast"/>
              <w:rPr>
                <w:rFonts w:ascii="Times New Roman" w:hAnsi="Times New Roman" w:eastAsia="Times New Roman" w:cs="Times New Roman"/>
                <w:color w:val="000000"/>
                <w:sz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3.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top"/>
            <w:vMerge w:val="restart"/>
            <w:textDirection w:val="lrTb"/>
            <w:noWrap w:val="false"/>
          </w:tcPr>
          <w:p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 xml:space="preserve">Внешняя оценка</w:t>
            </w:r>
            <w:r>
              <w:rPr>
                <w:sz w:val="24"/>
                <w:szCs w:val="20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02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8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Описаны процедуры независимой оценки качества образования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99" w:lineRule="atLeast"/>
              <w:rPr>
                <w:rFonts w:ascii="Times New Roman" w:hAnsi="Times New Roman" w:eastAsia="Times New Roman" w:cs="Times New Roman"/>
                <w:color w:val="000000"/>
                <w:sz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76" w:type="dxa"/>
            <w:vAlign w:val="top"/>
            <w:vMerge w:val="restart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02" w:type="dxa"/>
            <w:vAlign w:val="top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Описаны процедуры мониторинговых исследований муниципального, регионального и федерального уровня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99" w:lineRule="atLeast"/>
              <w:rPr>
                <w:rFonts w:ascii="Times New Roman" w:hAnsi="Times New Roman" w:eastAsia="Times New Roman" w:cs="Times New Roman"/>
                <w:color w:val="000000"/>
                <w:sz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76" w:type="dxa"/>
            <w:vAlign w:val="top"/>
            <w:vMerge w:val="restart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99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4.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8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Система оценки реализует разные подходы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02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8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Системно-деятельностный подход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99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76" w:type="dxa"/>
            <w:vAlign w:val="top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top"/>
            <w:vMerge w:val="continue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99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02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8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Уровневый подход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99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76" w:type="dxa"/>
            <w:vAlign w:val="top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top"/>
            <w:vMerge w:val="continue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99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02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8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Комплексный подход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99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76" w:type="dxa"/>
            <w:vAlign w:val="top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99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5.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8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Сформирован и утвержден график проведения оценочных процедур на учебный год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02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8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Оценочные процедуры запланированы не чаще одного раза в 2,5 недели по предмету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99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76" w:type="dxa"/>
            <w:vAlign w:val="top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top"/>
            <w:vMerge w:val="continue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99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02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8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Оценочные процедуры занимают не более 10% времени, отведенного на изучение предмета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99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" w:type="dxa"/>
            <w:vAlign w:val="top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top"/>
            <w:vMerge w:val="continue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99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02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8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В один день для одного класса запланировано не более одной процедуры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99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" w:type="dxa"/>
            <w:vAlign w:val="top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top"/>
            <w:vMerge w:val="continue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99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02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8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Оценочные процедуры запланированы не на первый или последний уроки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99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" w:type="dxa"/>
            <w:vAlign w:val="top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top"/>
            <w:vMerge w:val="continue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99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02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8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Внутренние и внешние процедуры интегрированы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99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" w:type="dxa"/>
            <w:vAlign w:val="top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top"/>
            <w:vMerge w:val="continue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99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02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8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Материалы для оценочных процедур хорошего качества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99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" w:type="dxa"/>
            <w:vAlign w:val="top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99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6.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/>
          </w:p>
          <w:p>
            <w:pPr>
              <w:ind w:left="0" w:right="0" w:firstLine="0"/>
              <w:jc w:val="center"/>
              <w:spacing w:before="0" w:after="0" w:line="299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8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Нормативная база ОО содержит необходимые документы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02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8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Положение о ВСОКО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99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76" w:type="dxa"/>
            <w:vAlign w:val="top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top"/>
            <w:vMerge w:val="continue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99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top"/>
            <w:vMerge w:val="continue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8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02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8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Положение о формах, порядке, периодичности текущего контроля и промежуточной аттестации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99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" w:type="dxa"/>
            <w:vAlign w:val="top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top"/>
            <w:vMerge w:val="continue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99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02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8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Положение об индивидуальном учебном проекте, выполняемом обучающимися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99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" w:type="dxa"/>
            <w:vAlign w:val="top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top"/>
            <w:vMerge w:val="continue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99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02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8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Положение о ведении электронного журнала/дневника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99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" w:type="dxa"/>
            <w:vAlign w:val="top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02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8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Положение о портфолио обучающегося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99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76" w:type="dxa"/>
            <w:vAlign w:val="top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99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102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before="0" w:after="0" w:line="28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99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76" w:type="dxa"/>
            <w:vAlign w:val="top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</w:tr>
    </w:tbl>
    <w:p>
      <w:pPr>
        <w:jc w:val="right"/>
        <w:rPr>
          <w:rFonts w:eastAsia="Times New Roman" w:cs="Times New Roman"/>
          <w:bCs/>
          <w:i/>
        </w:rPr>
      </w:pPr>
      <w:r>
        <w:rPr>
          <w:i/>
          <w:iCs/>
          <w:highlight w:val="none"/>
        </w:rPr>
      </w:r>
      <w:r>
        <w:rPr>
          <w:i/>
          <w:iCs/>
          <w:highlight w:val="none"/>
        </w:rPr>
      </w:r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0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6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2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20" w:hanging="360"/>
      </w:pPr>
      <w:rPr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20" w:hanging="360"/>
      </w:pPr>
      <w:rPr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1"/>
  </w:num>
  <w:num w:numId="2">
    <w:abstractNumId w:val="3"/>
  </w:num>
  <w:num w:numId="3">
    <w:abstractNumId w:val="2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4">
    <w:abstractNumId w:val="0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27"/>
    <w:next w:val="827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28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27"/>
    <w:next w:val="827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28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27"/>
    <w:next w:val="827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28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27"/>
    <w:next w:val="827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28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27"/>
    <w:next w:val="827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28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27"/>
    <w:next w:val="827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28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27"/>
    <w:next w:val="827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28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27"/>
    <w:next w:val="827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28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27"/>
    <w:next w:val="827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28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27"/>
    <w:next w:val="827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28"/>
    <w:link w:val="673"/>
    <w:uiPriority w:val="10"/>
    <w:rPr>
      <w:sz w:val="48"/>
      <w:szCs w:val="48"/>
    </w:rPr>
  </w:style>
  <w:style w:type="paragraph" w:styleId="675">
    <w:name w:val="Subtitle"/>
    <w:basedOn w:val="827"/>
    <w:next w:val="827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28"/>
    <w:link w:val="675"/>
    <w:uiPriority w:val="11"/>
    <w:rPr>
      <w:sz w:val="24"/>
      <w:szCs w:val="24"/>
    </w:rPr>
  </w:style>
  <w:style w:type="paragraph" w:styleId="677">
    <w:name w:val="Quote"/>
    <w:basedOn w:val="827"/>
    <w:next w:val="827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7"/>
    <w:next w:val="827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paragraph" w:styleId="681">
    <w:name w:val="Header"/>
    <w:basedOn w:val="827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2">
    <w:name w:val="Header Char"/>
    <w:basedOn w:val="828"/>
    <w:link w:val="681"/>
    <w:uiPriority w:val="99"/>
  </w:style>
  <w:style w:type="paragraph" w:styleId="683">
    <w:name w:val="Footer"/>
    <w:basedOn w:val="827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Footer Char"/>
    <w:basedOn w:val="828"/>
    <w:link w:val="683"/>
    <w:uiPriority w:val="99"/>
  </w:style>
  <w:style w:type="paragraph" w:styleId="685">
    <w:name w:val="Caption"/>
    <w:basedOn w:val="827"/>
    <w:next w:val="82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6">
    <w:name w:val="Caption Char"/>
    <w:basedOn w:val="685"/>
    <w:link w:val="683"/>
    <w:uiPriority w:val="99"/>
  </w:style>
  <w:style w:type="table" w:styleId="687">
    <w:name w:val="Table Grid Light"/>
    <w:basedOn w:val="82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2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2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6">
    <w:name w:val="List Table 7 Colorful - Accent 2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7">
    <w:name w:val="List Table 7 Colorful - Accent 3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8">
    <w:name w:val="List Table 7 Colorful - Accent 4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9">
    <w:name w:val="List Table 7 Colorful - Accent 5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0">
    <w:name w:val="List Table 7 Colorful - Accent 6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1">
    <w:name w:val="Lined - Accent"/>
    <w:basedOn w:val="8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3">
    <w:name w:val="Lined - Accent 2"/>
    <w:basedOn w:val="8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4">
    <w:name w:val="Lined - Accent 3"/>
    <w:basedOn w:val="8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5">
    <w:name w:val="Lined - Accent 4"/>
    <w:basedOn w:val="8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6">
    <w:name w:val="Lined - Accent 5"/>
    <w:basedOn w:val="8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7">
    <w:name w:val="Lined - Accent 6"/>
    <w:basedOn w:val="8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8">
    <w:name w:val="Bordered &amp; Lined - Accent"/>
    <w:basedOn w:val="8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Bordered &amp; Lined - Accent 2"/>
    <w:basedOn w:val="8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Bordered &amp; Lined - Accent 3"/>
    <w:basedOn w:val="8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Bordered &amp; Lined - Accent 4"/>
    <w:basedOn w:val="8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Bordered &amp; Lined - Accent 5"/>
    <w:basedOn w:val="8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Bordered &amp; Lined - Accent 6"/>
    <w:basedOn w:val="8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2">
    <w:name w:val="Footnote Text Char"/>
    <w:link w:val="836"/>
    <w:uiPriority w:val="99"/>
    <w:rPr>
      <w:sz w:val="18"/>
    </w:rPr>
  </w:style>
  <w:style w:type="paragraph" w:styleId="813">
    <w:name w:val="endnote text"/>
    <w:basedOn w:val="827"/>
    <w:link w:val="814"/>
    <w:uiPriority w:val="99"/>
    <w:semiHidden/>
    <w:unhideWhenUsed/>
    <w:pPr>
      <w:spacing w:after="0" w:line="240" w:lineRule="auto"/>
    </w:pPr>
    <w:rPr>
      <w:sz w:val="20"/>
    </w:rPr>
  </w:style>
  <w:style w:type="character" w:styleId="814">
    <w:name w:val="Endnote Text Char"/>
    <w:link w:val="813"/>
    <w:uiPriority w:val="99"/>
    <w:rPr>
      <w:sz w:val="20"/>
    </w:rPr>
  </w:style>
  <w:style w:type="character" w:styleId="815">
    <w:name w:val="endnote reference"/>
    <w:basedOn w:val="828"/>
    <w:uiPriority w:val="99"/>
    <w:semiHidden/>
    <w:unhideWhenUsed/>
    <w:rPr>
      <w:vertAlign w:val="superscript"/>
    </w:rPr>
  </w:style>
  <w:style w:type="paragraph" w:styleId="816">
    <w:name w:val="toc 1"/>
    <w:basedOn w:val="827"/>
    <w:next w:val="827"/>
    <w:uiPriority w:val="39"/>
    <w:unhideWhenUsed/>
    <w:pPr>
      <w:ind w:left="0" w:right="0" w:firstLine="0"/>
      <w:spacing w:after="57"/>
    </w:pPr>
  </w:style>
  <w:style w:type="paragraph" w:styleId="817">
    <w:name w:val="toc 2"/>
    <w:basedOn w:val="827"/>
    <w:next w:val="827"/>
    <w:uiPriority w:val="39"/>
    <w:unhideWhenUsed/>
    <w:pPr>
      <w:ind w:left="283" w:right="0" w:firstLine="0"/>
      <w:spacing w:after="57"/>
    </w:pPr>
  </w:style>
  <w:style w:type="paragraph" w:styleId="818">
    <w:name w:val="toc 3"/>
    <w:basedOn w:val="827"/>
    <w:next w:val="827"/>
    <w:uiPriority w:val="39"/>
    <w:unhideWhenUsed/>
    <w:pPr>
      <w:ind w:left="567" w:right="0" w:firstLine="0"/>
      <w:spacing w:after="57"/>
    </w:pPr>
  </w:style>
  <w:style w:type="paragraph" w:styleId="819">
    <w:name w:val="toc 4"/>
    <w:basedOn w:val="827"/>
    <w:next w:val="827"/>
    <w:uiPriority w:val="39"/>
    <w:unhideWhenUsed/>
    <w:pPr>
      <w:ind w:left="850" w:right="0" w:firstLine="0"/>
      <w:spacing w:after="57"/>
    </w:pPr>
  </w:style>
  <w:style w:type="paragraph" w:styleId="820">
    <w:name w:val="toc 5"/>
    <w:basedOn w:val="827"/>
    <w:next w:val="827"/>
    <w:uiPriority w:val="39"/>
    <w:unhideWhenUsed/>
    <w:pPr>
      <w:ind w:left="1134" w:right="0" w:firstLine="0"/>
      <w:spacing w:after="57"/>
    </w:pPr>
  </w:style>
  <w:style w:type="paragraph" w:styleId="821">
    <w:name w:val="toc 6"/>
    <w:basedOn w:val="827"/>
    <w:next w:val="827"/>
    <w:uiPriority w:val="39"/>
    <w:unhideWhenUsed/>
    <w:pPr>
      <w:ind w:left="1417" w:right="0" w:firstLine="0"/>
      <w:spacing w:after="57"/>
    </w:pPr>
  </w:style>
  <w:style w:type="paragraph" w:styleId="822">
    <w:name w:val="toc 7"/>
    <w:basedOn w:val="827"/>
    <w:next w:val="827"/>
    <w:uiPriority w:val="39"/>
    <w:unhideWhenUsed/>
    <w:pPr>
      <w:ind w:left="1701" w:right="0" w:firstLine="0"/>
      <w:spacing w:after="57"/>
    </w:pPr>
  </w:style>
  <w:style w:type="paragraph" w:styleId="823">
    <w:name w:val="toc 8"/>
    <w:basedOn w:val="827"/>
    <w:next w:val="827"/>
    <w:uiPriority w:val="39"/>
    <w:unhideWhenUsed/>
    <w:pPr>
      <w:ind w:left="1984" w:right="0" w:firstLine="0"/>
      <w:spacing w:after="57"/>
    </w:pPr>
  </w:style>
  <w:style w:type="paragraph" w:styleId="824">
    <w:name w:val="toc 9"/>
    <w:basedOn w:val="827"/>
    <w:next w:val="827"/>
    <w:uiPriority w:val="39"/>
    <w:unhideWhenUsed/>
    <w:pPr>
      <w:ind w:left="2268" w:right="0" w:firstLine="0"/>
      <w:spacing w:after="57"/>
    </w:pPr>
  </w:style>
  <w:style w:type="paragraph" w:styleId="825">
    <w:name w:val="TOC Heading"/>
    <w:uiPriority w:val="39"/>
    <w:unhideWhenUsed/>
  </w:style>
  <w:style w:type="paragraph" w:styleId="826">
    <w:name w:val="table of figures"/>
    <w:basedOn w:val="827"/>
    <w:next w:val="827"/>
    <w:uiPriority w:val="99"/>
    <w:unhideWhenUsed/>
    <w:pPr>
      <w:spacing w:after="0" w:afterAutospacing="0"/>
    </w:pPr>
  </w:style>
  <w:style w:type="paragraph" w:styleId="827" w:default="1">
    <w:name w:val="Normal"/>
    <w:qFormat/>
    <w:pPr>
      <w:spacing w:after="40"/>
    </w:pPr>
    <w:rPr>
      <w:rFonts w:ascii="Times New Roman" w:hAnsi="Times New Roman"/>
      <w:sz w:val="28"/>
    </w:rPr>
  </w:style>
  <w:style w:type="character" w:styleId="828" w:default="1">
    <w:name w:val="Default Paragraph Font"/>
    <w:uiPriority w:val="1"/>
    <w:semiHidden/>
    <w:unhideWhenUsed/>
  </w:style>
  <w:style w:type="table" w:styleId="829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0" w:default="1">
    <w:name w:val="No List"/>
    <w:uiPriority w:val="99"/>
    <w:semiHidden/>
    <w:unhideWhenUsed/>
  </w:style>
  <w:style w:type="character" w:styleId="831" w:customStyle="1">
    <w:name w:val="docdata"/>
    <w:basedOn w:val="828"/>
  </w:style>
  <w:style w:type="paragraph" w:styleId="832" w:customStyle="1">
    <w:name w:val="1391"/>
    <w:basedOn w:val="82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table" w:styleId="833">
    <w:name w:val="Table Grid"/>
    <w:basedOn w:val="829"/>
    <w:uiPriority w:val="3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34">
    <w:name w:val="Normal (Web)"/>
    <w:basedOn w:val="827"/>
    <w:uiPriority w:val="99"/>
    <w:semiHidden/>
    <w:unhideWhenUsed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835">
    <w:name w:val="Hyperlink"/>
    <w:basedOn w:val="828"/>
    <w:uiPriority w:val="99"/>
    <w:unhideWhenUsed/>
    <w:rPr>
      <w:color w:val="0000ff"/>
      <w:u w:val="single"/>
    </w:rPr>
  </w:style>
  <w:style w:type="paragraph" w:styleId="836">
    <w:name w:val="footnote text"/>
    <w:basedOn w:val="827"/>
    <w:link w:val="837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837" w:customStyle="1">
    <w:name w:val="Текст сноски Знак"/>
    <w:basedOn w:val="828"/>
    <w:link w:val="836"/>
    <w:uiPriority w:val="99"/>
    <w:semiHidden/>
    <w:rPr>
      <w:rFonts w:ascii="Times New Roman" w:hAnsi="Times New Roman"/>
      <w:sz w:val="20"/>
      <w:szCs w:val="20"/>
    </w:rPr>
  </w:style>
  <w:style w:type="character" w:styleId="838">
    <w:name w:val="footnote reference"/>
    <w:basedOn w:val="828"/>
    <w:uiPriority w:val="99"/>
    <w:semiHidden/>
    <w:unhideWhenUsed/>
    <w:rPr>
      <w:vertAlign w:val="superscript"/>
    </w:rPr>
  </w:style>
  <w:style w:type="paragraph" w:styleId="839">
    <w:name w:val="List Paragraph"/>
    <w:basedOn w:val="827"/>
    <w:uiPriority w:val="34"/>
    <w:qFormat/>
    <w:pPr>
      <w:contextualSpacing/>
      <w:ind w:left="720"/>
    </w:pPr>
  </w:style>
  <w:style w:type="paragraph" w:styleId="840" w:customStyle="1">
    <w:name w:val="2615"/>
    <w:basedOn w:val="82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B4F2BF-6375-473B-B7AA-A6896D9C5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R7-Office/7.2.0.134</Application>
  <Company>RePack by SPecialiST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Сергеевна Гончарова</dc:creator>
  <cp:lastModifiedBy>Марина Кислицина</cp:lastModifiedBy>
  <cp:revision>10</cp:revision>
  <dcterms:created xsi:type="dcterms:W3CDTF">2023-03-12T05:08:00Z</dcterms:created>
  <dcterms:modified xsi:type="dcterms:W3CDTF">2023-03-16T05:39:41Z</dcterms:modified>
</cp:coreProperties>
</file>